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4F2229">
        <w:rPr>
          <w:b w:val="0"/>
          <w:color w:val="000099"/>
        </w:rPr>
        <w:t>84</w:t>
      </w:r>
      <w:r w:rsidR="001F1B30">
        <w:rPr>
          <w:b w:val="0"/>
          <w:color w:val="000099"/>
        </w:rPr>
        <w:t>8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</w:t>
      </w:r>
      <w:r w:rsidR="00E07143">
        <w:rPr>
          <w:b w:val="0"/>
          <w:color w:val="000099"/>
        </w:rPr>
        <w:t>2</w:t>
      </w:r>
      <w:r w:rsidR="004F2229">
        <w:rPr>
          <w:b w:val="0"/>
          <w:color w:val="000099"/>
        </w:rPr>
        <w:t>55</w:t>
      </w:r>
      <w:r w:rsidR="001F1B30">
        <w:rPr>
          <w:b w:val="0"/>
          <w:color w:val="000099"/>
        </w:rPr>
        <w:t>2</w:t>
      </w:r>
      <w:r w:rsidR="00E1751B">
        <w:rPr>
          <w:b w:val="0"/>
          <w:color w:val="000099"/>
        </w:rPr>
        <w:t>-</w:t>
      </w:r>
      <w:r w:rsidR="001F1B30">
        <w:rPr>
          <w:b w:val="0"/>
          <w:color w:val="000099"/>
        </w:rPr>
        <w:t>62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06 апреля</w:t>
      </w:r>
      <w:r w:rsidR="0004769F">
        <w:rPr>
          <w:b w:val="0"/>
          <w:color w:val="000080"/>
          <w:sz w:val="26"/>
          <w:szCs w:val="26"/>
        </w:rPr>
        <w:t xml:space="preserve">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Таджибаева Ихтиера Шарифовича, </w:t>
      </w:r>
      <w:r w:rsidR="00BC3652">
        <w:rPr>
          <w:color w:val="000099"/>
          <w:sz w:val="28"/>
          <w:szCs w:val="28"/>
        </w:rPr>
        <w:t>&lt;&lt;***&gt;&gt;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27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 w:rsidR="004F2229">
        <w:rPr>
          <w:color w:val="000080"/>
          <w:sz w:val="26"/>
          <w:szCs w:val="26"/>
        </w:rPr>
        <w:t>2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04769F">
        <w:rPr>
          <w:color w:val="000080"/>
          <w:sz w:val="26"/>
          <w:szCs w:val="26"/>
        </w:rPr>
        <w:t>1</w:t>
      </w:r>
      <w:r w:rsidR="000A664C">
        <w:rPr>
          <w:color w:val="000080"/>
          <w:sz w:val="26"/>
          <w:szCs w:val="26"/>
        </w:rPr>
        <w:t>9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 w:rsidR="0004769F">
        <w:rPr>
          <w:color w:val="000080"/>
          <w:sz w:val="26"/>
          <w:szCs w:val="26"/>
        </w:rPr>
        <w:t>0</w:t>
      </w:r>
      <w:r w:rsidR="000A664C">
        <w:rPr>
          <w:color w:val="000080"/>
          <w:sz w:val="26"/>
          <w:szCs w:val="26"/>
        </w:rPr>
        <w:t>8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0A664C">
        <w:rPr>
          <w:color w:val="000080"/>
          <w:sz w:val="26"/>
          <w:szCs w:val="26"/>
        </w:rPr>
        <w:t xml:space="preserve">ул. Федорова </w:t>
      </w:r>
      <w:r w:rsidR="00E1751B">
        <w:rPr>
          <w:color w:val="000080"/>
          <w:sz w:val="26"/>
          <w:szCs w:val="26"/>
        </w:rPr>
        <w:t xml:space="preserve">около д. </w:t>
      </w:r>
      <w:r w:rsidR="000A664C">
        <w:rPr>
          <w:color w:val="000080"/>
          <w:sz w:val="26"/>
          <w:szCs w:val="26"/>
        </w:rPr>
        <w:t>70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 w:rsidR="000A664C">
        <w:rPr>
          <w:color w:val="000080"/>
          <w:sz w:val="26"/>
          <w:szCs w:val="26"/>
        </w:rPr>
        <w:t>Таджибаев И.Ш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="00BC3652">
        <w:rPr>
          <w:color w:val="000099"/>
          <w:sz w:val="28"/>
          <w:szCs w:val="28"/>
        </w:rPr>
        <w:t>&lt;&lt;***&gt;&gt;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="00BC3652">
        <w:rPr>
          <w:color w:val="000099"/>
          <w:sz w:val="28"/>
          <w:szCs w:val="28"/>
        </w:rPr>
        <w:t>&lt;&lt;***&gt;&gt;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A664C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 об административном правонарушении;</w:t>
      </w:r>
    </w:p>
    <w:p w:rsidR="0004450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объяснения лица, привлекаемого к административной ответственности, </w:t>
      </w:r>
      <w:r w:rsidR="000A664C">
        <w:rPr>
          <w:rFonts w:ascii="Times New Roman" w:hAnsi="Times New Roman" w:cs="Times New Roman"/>
          <w:color w:val="000099"/>
          <w:sz w:val="26"/>
          <w:szCs w:val="26"/>
        </w:rPr>
        <w:t xml:space="preserve">представителя </w:t>
      </w:r>
      <w:r>
        <w:rPr>
          <w:rFonts w:ascii="Times New Roman" w:hAnsi="Times New Roman" w:cs="Times New Roman"/>
          <w:color w:val="000099"/>
          <w:sz w:val="26"/>
          <w:szCs w:val="26"/>
        </w:rPr>
        <w:t>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видеозапись административного </w:t>
      </w:r>
      <w:r w:rsidR="004F2229">
        <w:rPr>
          <w:rFonts w:ascii="Times New Roman" w:hAnsi="Times New Roman" w:cs="Times New Roman"/>
          <w:color w:val="000099"/>
          <w:sz w:val="26"/>
          <w:szCs w:val="26"/>
        </w:rPr>
        <w:t>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0A664C">
        <w:rPr>
          <w:rFonts w:ascii="Times New Roman" w:hAnsi="Times New Roman" w:cs="Times New Roman"/>
          <w:color w:val="000099"/>
          <w:sz w:val="26"/>
          <w:szCs w:val="26"/>
        </w:rPr>
        <w:t>Таджибаева Ихтиера Шарифовича</w:t>
      </w:r>
      <w:r w:rsidRPr="004173A4" w:rsidR="000A664C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125B41" w:rsidRPr="00125B41" w:rsidP="00125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Таджибаева Ихтиера Шарифовича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125B41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четверо</w:t>
      </w:r>
      <w:r w:rsidRPr="00125B41">
        <w:rPr>
          <w:rFonts w:ascii="Times New Roman" w:hAnsi="Times New Roman" w:cs="Times New Roman"/>
          <w:sz w:val="26"/>
          <w:szCs w:val="26"/>
        </w:rPr>
        <w:t xml:space="preserve"> сут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125B41">
        <w:rPr>
          <w:rFonts w:ascii="Times New Roman" w:hAnsi="Times New Roman" w:cs="Times New Roman"/>
          <w:sz w:val="26"/>
          <w:szCs w:val="26"/>
        </w:rPr>
        <w:t>к.</w:t>
      </w:r>
    </w:p>
    <w:p w:rsidR="00482A0B" w:rsidRPr="004173A4" w:rsidP="00125B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25B41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25B41">
        <w:rPr>
          <w:rFonts w:ascii="Times New Roman" w:hAnsi="Times New Roman" w:cs="Times New Roman"/>
          <w:sz w:val="26"/>
          <w:szCs w:val="26"/>
        </w:rPr>
        <w:t xml:space="preserve"> час. 00 мин. </w:t>
      </w:r>
      <w:r>
        <w:rPr>
          <w:rFonts w:ascii="Times New Roman" w:hAnsi="Times New Roman" w:cs="Times New Roman"/>
          <w:sz w:val="26"/>
          <w:szCs w:val="26"/>
        </w:rPr>
        <w:t xml:space="preserve">6 апреля </w:t>
      </w:r>
      <w:r w:rsidRPr="00125B41">
        <w:rPr>
          <w:rFonts w:ascii="Times New Roman" w:hAnsi="Times New Roman" w:cs="Times New Roman"/>
          <w:sz w:val="26"/>
          <w:szCs w:val="26"/>
        </w:rPr>
        <w:t>2026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BC3652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52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64C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5B41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1B30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2229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C3652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07143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77805-3E29-46DA-87D2-D583E5F5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